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w:t>
      </w:r>
      <w:r>
        <w:rPr>
          <w:rFonts w:ascii="Arial" w:hAnsi="Arial" w:cs="Arial"/>
          <w:b/>
          <w:sz w:val="22"/>
          <w:szCs w:val="22"/>
          <w:lang w:eastAsia="zh-CN"/>
        </w:rPr>
        <w:t>8</w:t>
      </w:r>
      <w:r>
        <w:rPr>
          <w:rFonts w:ascii="Arial" w:hAnsi="Arial" w:cs="Arial"/>
          <w:b/>
          <w:sz w:val="22"/>
          <w:szCs w:val="22"/>
        </w:rPr>
        <w:tab/>
      </w:r>
      <w:r>
        <w:rPr>
          <w:rFonts w:ascii="Arial" w:hAnsi="Arial" w:cs="Arial"/>
          <w:b/>
          <w:sz w:val="22"/>
          <w:szCs w:val="22"/>
        </w:rPr>
        <w:t>R1-1908245</w:t>
      </w:r>
    </w:p>
    <w:p>
      <w:pPr>
        <w:tabs>
          <w:tab w:val="right" w:pos="9630"/>
        </w:tabs>
        <w:spacing w:after="0"/>
        <w:rPr>
          <w:rFonts w:ascii="Arial" w:hAnsi="Arial" w:cs="Arial"/>
          <w:b/>
          <w:sz w:val="22"/>
          <w:szCs w:val="22"/>
        </w:rPr>
      </w:pPr>
      <w:r>
        <w:rPr>
          <w:rFonts w:ascii="Arial" w:hAnsi="Arial" w:cs="Arial"/>
          <w:b/>
          <w:sz w:val="22"/>
          <w:szCs w:val="22"/>
          <w:lang w:eastAsia="zh-CN"/>
        </w:rPr>
        <w:t>Prague</w:t>
      </w:r>
      <w:r>
        <w:rPr>
          <w:rFonts w:ascii="Arial" w:hAnsi="Arial" w:cs="Arial"/>
          <w:b/>
          <w:sz w:val="22"/>
          <w:szCs w:val="22"/>
        </w:rPr>
        <w:t>, CZ</w:t>
      </w:r>
      <w:r>
        <w:rPr>
          <w:rFonts w:hint="eastAsia" w:ascii="Arial" w:hAnsi="Arial" w:cs="Arial"/>
          <w:b/>
          <w:sz w:val="22"/>
          <w:szCs w:val="22"/>
          <w:lang w:eastAsia="zh-CN"/>
        </w:rPr>
        <w:t xml:space="preserve">, </w:t>
      </w:r>
      <w:r>
        <w:rPr>
          <w:rFonts w:ascii="Arial" w:hAnsi="Arial" w:cs="Arial"/>
          <w:b/>
          <w:sz w:val="22"/>
          <w:szCs w:val="22"/>
          <w:lang w:eastAsia="zh-CN"/>
        </w:rPr>
        <w:t>August 26</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30</w:t>
      </w:r>
      <w:r>
        <w:rPr>
          <w:rFonts w:hint="eastAsia" w:ascii="Arial" w:hAnsi="Arial" w:cs="Arial"/>
          <w:b/>
          <w:sz w:val="22"/>
          <w:szCs w:val="22"/>
          <w:vertAlign w:val="superscript"/>
          <w:lang w:eastAsia="zh-CN"/>
        </w:rPr>
        <w:t>th</w:t>
      </w:r>
      <w:r>
        <w:rPr>
          <w:rFonts w:hint="eastAsia" w:ascii="Arial" w:hAnsi="Arial" w:cs="Arial"/>
          <w:b/>
          <w:sz w:val="22"/>
          <w:szCs w:val="22"/>
          <w:lang w:eastAsia="zh-CN"/>
        </w:rPr>
        <w: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Clarification of sync NR-DC and remaining issues on cross-carrier scheduling</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 xml:space="preserve">uring RAN#84, one contribution was submitted to ask clarification on sync NR-DC </w:t>
      </w:r>
      <w:r>
        <w:rPr>
          <w:lang w:val="en-GB" w:eastAsia="zh-CN"/>
        </w:rPr>
        <w:fldChar w:fldCharType="begin"/>
      </w:r>
      <w:r>
        <w:rPr>
          <w:lang w:val="en-GB" w:eastAsia="zh-CN"/>
        </w:rPr>
        <w:instrText xml:space="preserve"> REF _Ref16195176 \n \h </w:instrText>
      </w:r>
      <w:r>
        <w:rPr>
          <w:lang w:val="en-GB" w:eastAsia="zh-CN"/>
        </w:rPr>
        <w:fldChar w:fldCharType="separate"/>
      </w:r>
      <w:r>
        <w:rPr>
          <w:lang w:val="en-GB" w:eastAsia="zh-CN"/>
        </w:rPr>
        <w:t>[1]</w:t>
      </w:r>
      <w:r>
        <w:rPr>
          <w:lang w:val="en-GB" w:eastAsia="zh-CN"/>
        </w:rPr>
        <w:fldChar w:fldCharType="end"/>
      </w:r>
      <w:r>
        <w:rPr>
          <w:lang w:val="en-GB" w:eastAsia="zh-CN"/>
        </w:rPr>
        <w:t xml:space="preserve">. It was agreed to further clarify sync NR-DC in RAN1 meeting and come back at RAN#85. </w:t>
      </w:r>
      <w:r>
        <w:rPr>
          <w:rFonts w:hint="eastAsia"/>
          <w:lang w:val="en-GB" w:eastAsia="zh-CN"/>
        </w:rPr>
        <w:t>I</w:t>
      </w:r>
      <w:r>
        <w:rPr>
          <w:lang w:val="en-GB" w:eastAsia="zh-CN"/>
        </w:rPr>
        <w:t>n this contribution, we present our understanding on sync NR-DC in Rel-15 in Section 2.</w:t>
      </w:r>
    </w:p>
    <w:p>
      <w:pPr>
        <w:rPr>
          <w:lang w:val="en-GB" w:eastAsia="zh-CN"/>
        </w:rPr>
      </w:pPr>
      <w:r>
        <w:rPr>
          <w:lang w:val="en-GB"/>
        </w:rPr>
        <w:t>During RAN1#97 meeting, most of the issues on cross-carrier scheduling with different numerologies have been finalized. In this contribution, we present one remaining issue regarding QCL assumption for cross-carrier scheduling in Section 3.</w:t>
      </w:r>
    </w:p>
    <w:p>
      <w:pPr>
        <w:pStyle w:val="2"/>
        <w:rPr>
          <w:lang w:val="en-US" w:eastAsia="zh-CN"/>
        </w:rPr>
      </w:pPr>
      <w:r>
        <w:rPr>
          <w:lang w:val="en-US" w:eastAsia="zh-CN"/>
        </w:rPr>
        <w:t>Understanding of sync NR-DC in Rel-15</w:t>
      </w:r>
    </w:p>
    <w:p>
      <w:pPr>
        <w:rPr>
          <w:lang w:val="en-GB"/>
        </w:rPr>
      </w:pPr>
      <w:r>
        <w:rPr>
          <w:rFonts w:hint="eastAsia"/>
          <w:lang w:val="en-GB"/>
        </w:rPr>
        <w:t>D</w:t>
      </w:r>
      <w:r>
        <w:rPr>
          <w:lang w:val="en-GB"/>
        </w:rPr>
        <w:t xml:space="preserve">uring RAN2#105, RAN2 sent an LS to RAN1 and RAN4 and respectfully asked RAN1/RAN4 to confirm RAN2’s understanding on synchronous NR-DC in Rel-15 </w:t>
      </w:r>
      <w:r>
        <w:rPr>
          <w:lang w:val="en-GB"/>
        </w:rPr>
        <w:fldChar w:fldCharType="begin"/>
      </w:r>
      <w:r>
        <w:rPr>
          <w:lang w:val="en-GB"/>
        </w:rPr>
        <w:instrText xml:space="preserve"> REF _Ref14975878 \n \h </w:instrText>
      </w:r>
      <w:r>
        <w:rPr>
          <w:lang w:val="en-GB"/>
        </w:rPr>
        <w:fldChar w:fldCharType="separate"/>
      </w:r>
      <w:r>
        <w:rPr>
          <w:lang w:val="en-GB"/>
        </w:rPr>
        <w:t>[2]</w:t>
      </w:r>
      <w:r>
        <w:rPr>
          <w:lang w:val="en-GB"/>
        </w:rPr>
        <w:fldChar w:fldCharType="end"/>
      </w:r>
      <w:r>
        <w:rPr>
          <w:lang w:val="en-GB"/>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0" w:line="240" w:lineRule="auto"/>
              <w:rPr>
                <w:rFonts w:ascii="New York" w:hAnsi="New York"/>
              </w:rPr>
            </w:pPr>
            <w:r>
              <w:rPr>
                <w:rFonts w:ascii="New York" w:hAnsi="New York"/>
              </w:rPr>
              <w:t>RAN2 has further discussed the synchronous NR-DC in Rel-15 and reached following consensus:</w:t>
            </w:r>
          </w:p>
          <w:p>
            <w:pPr>
              <w:pStyle w:val="152"/>
              <w:tabs>
                <w:tab w:val="left" w:pos="851"/>
                <w:tab w:val="clear" w:pos="1622"/>
              </w:tabs>
              <w:spacing w:before="0" w:after="100" w:afterAutospacing="1" w:line="240" w:lineRule="auto"/>
              <w:ind w:left="851" w:hanging="425"/>
            </w:pPr>
            <w:r>
              <w:rPr>
                <w:rFonts w:ascii="Times New Roman" w:hAnsi="Times New Roman"/>
              </w:rPr>
              <w:t xml:space="preserve"> =&gt;</w:t>
            </w:r>
            <w:r>
              <w:rPr>
                <w:rFonts w:ascii="Times New Roman" w:hAnsi="Times New Roman"/>
              </w:rPr>
              <w:tab/>
            </w:r>
            <w:r>
              <w:rPr>
                <w:rFonts w:ascii="Times New Roman" w:hAnsi="Times New Roman"/>
              </w:rPr>
              <w:t>RAN2 understanding that sync NR-DC implies at least slot synchronisation and it does not imply SFN synchronisation</w:t>
            </w:r>
          </w:p>
        </w:tc>
      </w:tr>
    </w:tbl>
    <w:p>
      <w:pPr>
        <w:rPr>
          <w:lang w:val="en-GB" w:eastAsia="zh-CN"/>
        </w:rPr>
      </w:pPr>
    </w:p>
    <w:p>
      <w:pPr>
        <w:rPr>
          <w:lang w:val="en-GB" w:eastAsia="zh-CN"/>
        </w:rPr>
      </w:pPr>
      <w:r>
        <w:rPr>
          <w:rFonts w:hint="eastAsia"/>
          <w:lang w:val="en-GB" w:eastAsia="zh-CN"/>
        </w:rPr>
        <w:t>D</w:t>
      </w:r>
      <w:r>
        <w:rPr>
          <w:lang w:val="en-GB" w:eastAsia="zh-CN"/>
        </w:rPr>
        <w:t>uring RAN4#90bis meeting, RAN4 confirmed RAN2’s understanding on sync NR-DC, i.e.,</w:t>
      </w:r>
      <w:r>
        <w:t xml:space="preserve"> f</w:t>
      </w:r>
      <w:r>
        <w:rPr>
          <w:lang w:eastAsia="zh-CN"/>
        </w:rPr>
        <w:t xml:space="preserve">rom RAN4 point of view synchronous NR-DC only requires slot boundary synchronization </w:t>
      </w:r>
      <w:r>
        <w:rPr>
          <w:lang w:eastAsia="zh-CN"/>
        </w:rPr>
        <w:fldChar w:fldCharType="begin"/>
      </w:r>
      <w:r>
        <w:rPr>
          <w:lang w:eastAsia="zh-CN"/>
        </w:rPr>
        <w:instrText xml:space="preserve"> REF _Ref14975970 \n \h </w:instrText>
      </w:r>
      <w:r>
        <w:rPr>
          <w:lang w:eastAsia="zh-CN"/>
        </w:rPr>
        <w:fldChar w:fldCharType="separate"/>
      </w:r>
      <w:r>
        <w:rPr>
          <w:lang w:eastAsia="zh-CN"/>
        </w:rPr>
        <w:t>[3]</w:t>
      </w:r>
      <w:r>
        <w:rPr>
          <w:lang w:eastAsia="zh-CN"/>
        </w:rPr>
        <w:fldChar w:fldCharType="end"/>
      </w:r>
      <w:r>
        <w:t>.</w:t>
      </w:r>
    </w:p>
    <w:p>
      <w:pPr>
        <w:rPr>
          <w:lang w:eastAsia="zh-CN"/>
        </w:rPr>
      </w:pPr>
      <w:r>
        <w:rPr>
          <w:rFonts w:hint="eastAsia"/>
          <w:lang w:eastAsia="zh-CN"/>
        </w:rPr>
        <w:t>R</w:t>
      </w:r>
      <w:r>
        <w:rPr>
          <w:lang w:eastAsia="zh-CN"/>
        </w:rPr>
        <w:t xml:space="preserve">AN1 has discussed this topic in RAN1#96bis meeting, some companies agreed with RAN2’s understanding while some other companies thought sync NR-DC requires SFN alignment. Since companies couldn’t converge on the same understanding, no LS reply to </w:t>
      </w:r>
      <w:r>
        <w:rPr>
          <w:lang w:eastAsia="zh-CN"/>
        </w:rPr>
        <w:fldChar w:fldCharType="begin"/>
      </w:r>
      <w:r>
        <w:rPr>
          <w:lang w:eastAsia="zh-CN"/>
        </w:rPr>
        <w:instrText xml:space="preserve"> REF _Ref14975878 \r \h </w:instrText>
      </w:r>
      <w:r>
        <w:rPr>
          <w:lang w:eastAsia="zh-CN"/>
        </w:rPr>
        <w:fldChar w:fldCharType="separate"/>
      </w:r>
      <w:r>
        <w:rPr>
          <w:lang w:eastAsia="zh-CN"/>
        </w:rPr>
        <w:t>[2]</w:t>
      </w:r>
      <w:r>
        <w:rPr>
          <w:lang w:eastAsia="zh-CN"/>
        </w:rPr>
        <w:fldChar w:fldCharType="end"/>
      </w:r>
      <w:r>
        <w:rPr>
          <w:lang w:eastAsia="zh-CN"/>
        </w:rPr>
        <w:t xml:space="preserve"> was agreed from RAN1.</w:t>
      </w:r>
    </w:p>
    <w:p>
      <w:pPr>
        <w:rPr>
          <w:lang w:eastAsia="zh-CN"/>
        </w:rPr>
      </w:pPr>
      <w:r>
        <w:rPr>
          <w:b/>
          <w:i/>
          <w:lang w:eastAsia="zh-CN"/>
        </w:rPr>
        <w:t>Observation 1</w:t>
      </w:r>
      <w:r>
        <w:rPr>
          <w:i/>
          <w:lang w:eastAsia="zh-CN"/>
        </w:rPr>
        <w:t>: Both RAN2 and RAN4 agree that synchronous NR-DC only requires slot boundary synchronization.</w:t>
      </w:r>
    </w:p>
    <w:p>
      <w:pPr>
        <w:rPr>
          <w:lang w:eastAsia="zh-CN"/>
        </w:rPr>
      </w:pPr>
      <w:r>
        <w:t>Furthermore</w:t>
      </w:r>
      <w:r>
        <w:rPr>
          <w:lang w:eastAsia="zh-CN"/>
        </w:rPr>
        <w:t xml:space="preserve">, LTE spec doesn’t specify any requirement on SFN alignment for LTE DC. According to TS36.300 as excerpted below, </w:t>
      </w:r>
      <w:r>
        <w:t>when DC is deployed, frame timing and SFN are aligned among the component carriers to be aggregated within a CG, and may or may not be aligned between different CGs.</w:t>
      </w:r>
    </w:p>
    <w:tbl>
      <w:tblPr>
        <w:tblStyle w:val="59"/>
        <w:tblW w:w="96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8" w:type="dxa"/>
          </w:tcPr>
          <w:p>
            <w:pPr>
              <w:spacing w:before="120" w:line="280" w:lineRule="atLeast"/>
              <w:rPr>
                <w:rFonts w:ascii="New York" w:hAnsi="New York"/>
                <w:i/>
              </w:rPr>
            </w:pPr>
            <w:r>
              <w:rPr>
                <w:rFonts w:ascii="New York" w:hAnsi="New York"/>
                <w:i/>
              </w:rPr>
              <w:t>For Dual Connectivity, the UE is configured with two cell groups (CGs). A CG may only include cells that are associated to the same eNB and those cells are synchronized at the eNB level similar as for carrier aggregation. Two operations are defined</w:t>
            </w:r>
            <w:r>
              <w:rPr>
                <w:rFonts w:ascii="New York" w:hAnsi="New York"/>
                <w:i/>
                <w:lang w:eastAsia="zh-CN"/>
              </w:rPr>
              <w:t>:</w:t>
            </w:r>
            <w:r>
              <w:rPr>
                <w:rFonts w:ascii="New York" w:hAnsi="New York"/>
                <w:i/>
              </w:rPr>
              <w:t xml:space="preserve"> synchronous and asynchronous DC. In synchronous DC operation, the UE can cope with a maximum reception timing difference up to at least 33µs and maximum transmission timing difference up to at least 35.21µs between CGs. In asynchronous DC operation, the UE can cope with a maximum reception/transmission timing difference up to 500µs between CGs.</w:t>
            </w:r>
          </w:p>
          <w:p>
            <w:pPr>
              <w:spacing w:before="120" w:line="280" w:lineRule="atLeast"/>
              <w:rPr>
                <w:rFonts w:ascii="New York" w:hAnsi="New York"/>
                <w:lang w:eastAsia="zh-CN"/>
              </w:rPr>
            </w:pPr>
            <w:r>
              <w:rPr>
                <w:rFonts w:ascii="New York" w:hAnsi="New York"/>
                <w:i/>
              </w:rPr>
              <w:t>When DC is deployed, frame timing and SFN are aligned among the component carriers to be aggregated within a CG, and may or may not be aligned between different CGs.</w:t>
            </w:r>
          </w:p>
        </w:tc>
      </w:tr>
    </w:tbl>
    <w:p>
      <w:pPr>
        <w:rPr>
          <w:lang w:eastAsia="zh-CN"/>
        </w:rPr>
      </w:pPr>
    </w:p>
    <w:p>
      <w:pPr>
        <w:rPr>
          <w:lang w:eastAsia="zh-CN"/>
        </w:rPr>
      </w:pPr>
      <w:r>
        <w:rPr>
          <w:rFonts w:hint="eastAsia"/>
          <w:b/>
          <w:i/>
          <w:lang w:eastAsia="zh-CN"/>
        </w:rPr>
        <w:t>O</w:t>
      </w:r>
      <w:r>
        <w:rPr>
          <w:b/>
          <w:i/>
          <w:lang w:eastAsia="zh-CN"/>
        </w:rPr>
        <w:t>bservation 2:</w:t>
      </w:r>
      <w:r>
        <w:rPr>
          <w:i/>
          <w:lang w:eastAsia="zh-CN"/>
        </w:rPr>
        <w:t xml:space="preserve"> </w:t>
      </w:r>
      <w:r>
        <w:rPr>
          <w:i/>
        </w:rPr>
        <w:t>When DC is deployed, frame timing and SFN are aligned among the component carriers to be aggregated within a CG, and may or may not be aligned between different CGs.</w:t>
      </w:r>
    </w:p>
    <w:p>
      <w:pPr>
        <w:rPr>
          <w:lang w:eastAsia="zh-CN"/>
        </w:rPr>
      </w:pPr>
      <w:r>
        <w:rPr>
          <w:rFonts w:hint="eastAsia"/>
          <w:lang w:eastAsia="zh-CN"/>
        </w:rPr>
        <w:t>I</w:t>
      </w:r>
      <w:r>
        <w:rPr>
          <w:lang w:eastAsia="zh-CN"/>
        </w:rPr>
        <w:t>n practical, different network vendors have different algorithms on determining the initial SFN when deploying the base station. It’s extremely difficult or even impossible to align network vendors’ implementation algorithms.</w:t>
      </w:r>
    </w:p>
    <w:p>
      <w:pPr>
        <w:rPr>
          <w:lang w:eastAsia="zh-CN"/>
        </w:rPr>
      </w:pPr>
      <w:r>
        <w:rPr>
          <w:lang w:eastAsia="zh-CN"/>
        </w:rPr>
        <w:t>Another way to align SFN between MCG and SCG is to specify the inter-gNB signaling to coordinate the SFN. As shown in Figure 1, this is likely to create a chain-effect. A number of cells (especially for cells from different vendors) have different SFNs, then all three cells have to negotiate and align the SFN. The ultimate goal is that all the cells potentially deployed for NR-DC shall align their SFNs. It’s extremely difficult or even impossible to align</w:t>
      </w:r>
      <w:r>
        <w:rPr>
          <w:rFonts w:hint="eastAsia"/>
          <w:lang w:eastAsia="zh-CN"/>
        </w:rPr>
        <w:t xml:space="preserve"> SFN between gNBs</w:t>
      </w:r>
      <w:r>
        <w:rPr>
          <w:lang w:eastAsia="zh-CN"/>
        </w:rPr>
        <w:t xml:space="preserve"> from different vendors</w:t>
      </w:r>
      <w:r>
        <w:rPr>
          <w:rFonts w:hint="eastAsia"/>
          <w:lang w:eastAsia="zh-CN"/>
        </w:rPr>
        <w:t>. If sync NR-DC requires SFN alignment, this brings much restriction on Rel-15 NR-DC.</w:t>
      </w:r>
    </w:p>
    <w:p>
      <w:pPr>
        <w:jc w:val="center"/>
        <w:rPr>
          <w:lang w:eastAsia="zh-CN"/>
        </w:rPr>
      </w:pPr>
      <w:r>
        <w:rPr>
          <w:lang w:eastAsia="zh-CN"/>
        </w:rPr>
        <w:drawing>
          <wp:inline distT="0" distB="0" distL="0" distR="0">
            <wp:extent cx="3498850" cy="117030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523132" cy="1178448"/>
                    </a:xfrm>
                    <a:prstGeom prst="rect">
                      <a:avLst/>
                    </a:prstGeom>
                    <a:noFill/>
                  </pic:spPr>
                </pic:pic>
              </a:graphicData>
            </a:graphic>
          </wp:inline>
        </w:drawing>
      </w:r>
    </w:p>
    <w:p>
      <w:pPr>
        <w:jc w:val="center"/>
        <w:rPr>
          <w:lang w:eastAsia="zh-CN"/>
        </w:rPr>
      </w:pPr>
      <w:r>
        <w:rPr>
          <w:rFonts w:hint="eastAsia"/>
          <w:lang w:eastAsia="zh-CN"/>
        </w:rPr>
        <w:t>F</w:t>
      </w:r>
      <w:r>
        <w:rPr>
          <w:lang w:eastAsia="zh-CN"/>
        </w:rPr>
        <w:t>igure 1. Chain-effect of SFN negotiation between cells.</w:t>
      </w:r>
    </w:p>
    <w:p>
      <w:pPr>
        <w:rPr>
          <w:i/>
          <w:iCs/>
          <w:lang w:eastAsia="zh-CN"/>
        </w:rPr>
      </w:pPr>
      <w:r>
        <w:rPr>
          <w:rFonts w:hint="eastAsia"/>
          <w:b/>
          <w:bCs/>
          <w:i/>
          <w:iCs/>
          <w:lang w:eastAsia="zh-CN"/>
        </w:rPr>
        <w:t>Observation 3:</w:t>
      </w:r>
      <w:r>
        <w:rPr>
          <w:rFonts w:hint="eastAsia"/>
          <w:i/>
          <w:iCs/>
          <w:lang w:eastAsia="zh-CN"/>
        </w:rPr>
        <w:t xml:space="preserve"> I</w:t>
      </w:r>
      <w:r>
        <w:rPr>
          <w:i/>
          <w:iCs/>
          <w:lang w:eastAsia="zh-CN"/>
        </w:rPr>
        <w:t>t’s extremely difficult or even impossible to align</w:t>
      </w:r>
      <w:r>
        <w:rPr>
          <w:rFonts w:hint="eastAsia"/>
          <w:i/>
          <w:iCs/>
          <w:lang w:eastAsia="zh-CN"/>
        </w:rPr>
        <w:t xml:space="preserve"> SFN between different gNBs</w:t>
      </w:r>
      <w:r>
        <w:rPr>
          <w:i/>
          <w:iCs/>
          <w:lang w:eastAsia="zh-CN"/>
        </w:rPr>
        <w:t>, especially for gNBs from different vendors</w:t>
      </w:r>
      <w:r>
        <w:rPr>
          <w:rFonts w:hint="eastAsia"/>
          <w:i/>
          <w:iCs/>
          <w:lang w:eastAsia="zh-CN"/>
        </w:rPr>
        <w:t>. If sync NR-DC requires SFN alignment, this brings much restriction on Rel-15 NR-DC.</w:t>
      </w:r>
    </w:p>
    <w:p>
      <w:pPr>
        <w:rPr>
          <w:lang w:eastAsia="zh-CN"/>
        </w:rPr>
      </w:pPr>
      <w:r>
        <w:rPr>
          <w:rFonts w:hint="eastAsia"/>
          <w:b/>
          <w:bCs/>
          <w:i/>
          <w:iCs/>
          <w:lang w:eastAsia="zh-CN"/>
        </w:rPr>
        <w:t xml:space="preserve">Proposal 1: </w:t>
      </w:r>
      <w:r>
        <w:rPr>
          <w:rFonts w:hint="eastAsia"/>
          <w:i/>
          <w:iCs/>
          <w:lang w:eastAsia="zh-CN"/>
        </w:rPr>
        <w:t>RAN1 reconfirms that s</w:t>
      </w:r>
      <w:r>
        <w:rPr>
          <w:i/>
          <w:iCs/>
          <w:lang w:eastAsia="zh-CN"/>
        </w:rPr>
        <w:t>ynchronous NR-DC only requires slot boundary synchronization.</w:t>
      </w:r>
    </w:p>
    <w:p>
      <w:pPr>
        <w:pStyle w:val="2"/>
        <w:rPr>
          <w:lang w:val="en-US" w:eastAsia="zh-CN"/>
        </w:rPr>
      </w:pPr>
      <w:r>
        <w:rPr>
          <w:rFonts w:hint="eastAsia"/>
          <w:lang w:val="en-US" w:eastAsia="zh-CN"/>
        </w:rPr>
        <w:t xml:space="preserve">QCL assumptions other than </w:t>
      </w:r>
      <w:r>
        <w:t>QCL-TypeD</w:t>
      </w:r>
    </w:p>
    <w:p>
      <w:pPr>
        <w:rPr>
          <w:lang w:val="en-GB"/>
        </w:rPr>
      </w:pPr>
      <w:r>
        <w:rPr>
          <w:lang w:val="en-GB"/>
        </w:rPr>
        <w:t xml:space="preserve">Regarding the default QCL for cross-carrier scheduling, RAN1 has agreed that if the PDCCH-to-PDSCH delay &lt; </w:t>
      </w:r>
      <w:r>
        <w:rPr>
          <w:i/>
          <w:lang w:val="en-GB"/>
        </w:rPr>
        <w:t>timeDurationForQCL</w:t>
      </w:r>
      <w:r>
        <w:rPr>
          <w:lang w:val="en-GB"/>
        </w:rPr>
        <w:t xml:space="preserve"> or if the TCI information is absent from the DCI, UE obtains its QCL assumption for the scheduled PDSCH from the activated TCI state with the lowest ID applicable to PDSCH in the active BWP of the scheduled cell </w:t>
      </w:r>
      <w:r>
        <w:rPr>
          <w:lang w:val="en-GB"/>
        </w:rPr>
        <w:fldChar w:fldCharType="begin"/>
      </w:r>
      <w:r>
        <w:rPr>
          <w:lang w:val="en-GB"/>
        </w:rPr>
        <w:instrText xml:space="preserve"> REF _Ref16195815 \r \h </w:instrText>
      </w:r>
      <w:r>
        <w:rPr>
          <w:lang w:val="en-GB"/>
        </w:rPr>
        <w:fldChar w:fldCharType="separate"/>
      </w:r>
      <w:r>
        <w:rPr>
          <w:lang w:val="en-GB"/>
        </w:rPr>
        <w:t>[4]</w:t>
      </w:r>
      <w:r>
        <w:rPr>
          <w:lang w:val="en-GB"/>
        </w:rPr>
        <w:fldChar w:fldCharType="end"/>
      </w:r>
      <w:r>
        <w:rPr>
          <w:lang w:val="en-GB"/>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0" w:line="240" w:lineRule="auto"/>
              <w:rPr>
                <w:rFonts w:ascii="New York" w:hAnsi="New York"/>
                <w:b/>
              </w:rPr>
            </w:pPr>
            <w:r>
              <w:rPr>
                <w:rFonts w:ascii="New York" w:hAnsi="New York"/>
                <w:highlight w:val="green"/>
              </w:rPr>
              <w:t>Agreements</w:t>
            </w:r>
            <w:r>
              <w:rPr>
                <w:rFonts w:ascii="New York" w:hAnsi="New York"/>
              </w:rPr>
              <w:t xml:space="preserve"> (RAN1#97)</w:t>
            </w:r>
            <w:r>
              <w:rPr>
                <w:rFonts w:ascii="New York" w:hAnsi="New York"/>
                <w:b/>
              </w:rPr>
              <w:t>:</w:t>
            </w:r>
          </w:p>
          <w:p>
            <w:pPr>
              <w:spacing w:before="0" w:after="0" w:line="240" w:lineRule="auto"/>
              <w:rPr>
                <w:rFonts w:ascii="New York" w:hAnsi="New York"/>
              </w:rPr>
            </w:pPr>
            <w:r>
              <w:rPr>
                <w:rFonts w:ascii="New York" w:hAnsi="New York"/>
              </w:rPr>
              <w:t xml:space="preserve">When PDSCH and its scheduling PDCCH are in the different CCs, if the PDCCH-to-PDSCH delay &lt; </w:t>
            </w:r>
            <w:r>
              <w:rPr>
                <w:rFonts w:ascii="New York" w:hAnsi="New York"/>
                <w:i/>
                <w:strike/>
                <w:color w:val="FF0000"/>
              </w:rPr>
              <w:t>Threshold-Sched-Offset</w:t>
            </w:r>
            <w:r>
              <w:rPr>
                <w:rFonts w:ascii="New York" w:hAnsi="New York" w:eastAsia="等线"/>
                <w:i/>
                <w:lang w:eastAsia="zh-CN"/>
              </w:rPr>
              <w:t xml:space="preserve"> </w:t>
            </w:r>
            <w:r>
              <w:rPr>
                <w:rFonts w:ascii="New York" w:hAnsi="New York" w:eastAsia="等线"/>
                <w:i/>
                <w:color w:val="FF0000"/>
                <w:u w:val="single"/>
                <w:lang w:eastAsia="zh-CN"/>
              </w:rPr>
              <w:t>timeDurationForQCL</w:t>
            </w:r>
            <w:r>
              <w:rPr>
                <w:rFonts w:ascii="New York" w:hAnsi="New York"/>
                <w:color w:val="FF0000"/>
                <w:u w:val="single"/>
              </w:rPr>
              <w:t xml:space="preserve"> or if the TCI information is absent from the DCI</w:t>
            </w:r>
            <w:r>
              <w:rPr>
                <w:rFonts w:ascii="New York" w:hAnsi="New York"/>
              </w:rPr>
              <w:t>, the UE obtains its QCL assumption for the scheduled PDSCH from the activated TCI state with the lowest ID applicable to PDSCH in the active BWP of the scheduled cell</w:t>
            </w:r>
          </w:p>
        </w:tc>
      </w:tr>
    </w:tbl>
    <w:p>
      <w:pPr>
        <w:rPr>
          <w:lang w:eastAsia="zh-CN"/>
        </w:rPr>
      </w:pPr>
    </w:p>
    <w:p>
      <w:pPr>
        <w:snapToGrid w:val="0"/>
        <w:spacing w:before="120" w:beforeLines="50" w:after="120" w:afterLines="50"/>
        <w:rPr>
          <w:lang w:eastAsia="zh-CN"/>
        </w:rPr>
      </w:pPr>
      <w:r>
        <w:rPr>
          <w:lang w:eastAsia="zh-CN"/>
        </w:rPr>
        <w:t xml:space="preserve">From our point of understanding, the agreements reached in last meeting is only applicable for FR2 Cell only, i.e., when QCL-typeD exists. </w:t>
      </w:r>
      <w:r>
        <w:rPr>
          <w:rFonts w:hint="eastAsia"/>
          <w:lang w:eastAsia="zh-CN"/>
        </w:rPr>
        <w:t xml:space="preserve">UE needs some time to determine and apply spatial QCL information for corresponding PDSCH reception. </w:t>
      </w:r>
      <w:r>
        <w:rPr>
          <w:lang w:eastAsia="zh-CN"/>
        </w:rPr>
        <w:t xml:space="preserve">That’s the reason why network needs to leave sufficient time (i.e., </w:t>
      </w:r>
      <w:r>
        <w:rPr>
          <w:i/>
          <w:lang w:val="en-GB"/>
        </w:rPr>
        <w:t>timeDurationForQCL</w:t>
      </w:r>
      <w:r>
        <w:rPr>
          <w:lang w:eastAsia="zh-CN"/>
        </w:rPr>
        <w:t>) for UE to apply the DCI indicated TCI state.</w:t>
      </w:r>
    </w:p>
    <w:p>
      <w:pPr>
        <w:snapToGrid w:val="0"/>
        <w:spacing w:before="120" w:beforeLines="50" w:after="120" w:afterLines="50"/>
        <w:rPr>
          <w:lang w:eastAsia="zh-CN"/>
        </w:rPr>
      </w:pPr>
      <w:r>
        <w:rPr>
          <w:rFonts w:hint="eastAsia"/>
          <w:lang w:eastAsia="zh-CN"/>
        </w:rPr>
        <w:t xml:space="preserve">While for all the QCL assumptions </w:t>
      </w:r>
      <w:r>
        <w:t>other than QCL-TypeD</w:t>
      </w:r>
      <w:r>
        <w:rPr>
          <w:rFonts w:hint="eastAsia"/>
          <w:lang w:eastAsia="zh-CN"/>
        </w:rPr>
        <w:t xml:space="preserve">, which are mainly used in the baseband processing, UE is allowed to receive the PDSCH and determine </w:t>
      </w:r>
      <w:r>
        <w:rPr>
          <w:lang w:eastAsia="zh-CN"/>
        </w:rPr>
        <w:t>and</w:t>
      </w:r>
      <w:r>
        <w:rPr>
          <w:rFonts w:hint="eastAsia"/>
          <w:lang w:eastAsia="zh-CN"/>
        </w:rPr>
        <w:t xml:space="preserve"> apply QCL assumptions other than </w:t>
      </w:r>
      <w:r>
        <w:t>QCL-TypeD</w:t>
      </w:r>
      <w:r>
        <w:rPr>
          <w:lang w:eastAsia="zh-CN"/>
        </w:rPr>
        <w:t xml:space="preserve"> after the PDSCH reception</w:t>
      </w:r>
      <w:r>
        <w:rPr>
          <w:rFonts w:hint="eastAsia"/>
          <w:lang w:eastAsia="zh-CN"/>
        </w:rPr>
        <w:t>.</w:t>
      </w:r>
      <w:r>
        <w:rPr>
          <w:lang w:eastAsia="zh-CN"/>
        </w:rPr>
        <w:t xml:space="preserve"> In other words, there is no such threshold (i.e., </w:t>
      </w:r>
      <w:r>
        <w:rPr>
          <w:i/>
          <w:lang w:val="en-GB"/>
        </w:rPr>
        <w:t>timeDurationForQCL</w:t>
      </w:r>
      <w:r>
        <w:rPr>
          <w:lang w:eastAsia="zh-CN"/>
        </w:rPr>
        <w:t xml:space="preserve">) for </w:t>
      </w:r>
      <w:r>
        <w:rPr>
          <w:rFonts w:hint="eastAsia"/>
          <w:lang w:eastAsia="zh-CN"/>
        </w:rPr>
        <w:t xml:space="preserve">QCL assumptions </w:t>
      </w:r>
      <w:r>
        <w:t>other than QCL-TypeD. Likewise, a</w:t>
      </w:r>
      <w:r>
        <w:rPr>
          <w:rFonts w:hint="eastAsia"/>
          <w:lang w:eastAsia="zh-CN"/>
        </w:rPr>
        <w:t>s</w:t>
      </w:r>
      <w:r>
        <w:rPr>
          <w:lang w:eastAsia="zh-CN"/>
        </w:rPr>
        <w:t xml:space="preserve"> the excerpt from Section 5.1.5 in TS 38.214 shown, if none of configured TCI states contains ‘QCL-TypeD’, the UE shall obtain the QCL assumptions other than QCL-type D from the indicated TCI states for its scheduling PDSCH irrespective of the time offset between the reception of the DL DCI and the corresponding PDSCH.</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beforeLines="50" w:after="120" w:afterLines="50" w:line="280" w:lineRule="atLeast"/>
              <w:rPr>
                <w:rFonts w:ascii="New York" w:hAnsi="New York"/>
                <w:lang w:eastAsia="zh-CN"/>
              </w:rPr>
            </w:pPr>
            <w:r>
              <w:rPr>
                <w:rFonts w:ascii="New York" w:hAnsi="New York"/>
                <w:lang w:eastAsia="zh-CN"/>
              </w:rPr>
              <w:drawing>
                <wp:inline distT="0" distB="0" distL="0" distR="0">
                  <wp:extent cx="6120130" cy="4870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6120130" cy="487045"/>
                          </a:xfrm>
                          <a:prstGeom prst="rect">
                            <a:avLst/>
                          </a:prstGeom>
                        </pic:spPr>
                      </pic:pic>
                    </a:graphicData>
                  </a:graphic>
                </wp:inline>
              </w:drawing>
            </w:r>
          </w:p>
        </w:tc>
      </w:tr>
    </w:tbl>
    <w:p>
      <w:pPr>
        <w:snapToGrid w:val="0"/>
        <w:spacing w:before="120" w:beforeLines="50" w:after="120" w:afterLines="50"/>
        <w:rPr>
          <w:lang w:eastAsia="zh-CN"/>
        </w:rPr>
      </w:pPr>
      <w:r>
        <w:rPr>
          <w:rFonts w:hint="eastAsia"/>
          <w:lang w:eastAsia="zh-CN"/>
        </w:rPr>
        <w:t>T</w:t>
      </w:r>
      <w:r>
        <w:rPr>
          <w:lang w:eastAsia="zh-CN"/>
        </w:rPr>
        <w:t>his feature can be introduced in Rel-16 cross-carrier scheduling. W</w:t>
      </w:r>
      <w:r>
        <w:rPr>
          <w:rFonts w:hint="eastAsia"/>
        </w:rPr>
        <w:t xml:space="preserve">hen TCI field is present in DCI for cross-CC scheduling, if </w:t>
      </w:r>
      <w:r>
        <w:t xml:space="preserve">the time offset between the reception of the DL DCI and the corresponding PDSCH is </w:t>
      </w:r>
      <w:r>
        <w:rPr>
          <w:rFonts w:hint="eastAsia"/>
        </w:rPr>
        <w:t>smaller</w:t>
      </w:r>
      <w:r>
        <w:t xml:space="preserve"> than a threshold </w:t>
      </w:r>
      <w:r>
        <w:rPr>
          <w:i/>
          <w:lang w:val="en-GB"/>
        </w:rPr>
        <w:t>timeDurationForQCL</w:t>
      </w:r>
      <w:r>
        <w:rPr>
          <w:rFonts w:hint="eastAsia"/>
        </w:rPr>
        <w:t xml:space="preserve">, UE can still obtain </w:t>
      </w:r>
      <w:r>
        <w:t>the QCL assumptions other than QCL-TypeD from</w:t>
      </w:r>
      <w:r>
        <w:rPr>
          <w:rFonts w:hint="eastAsia"/>
        </w:rPr>
        <w:t xml:space="preserve"> the indicated TCI state in </w:t>
      </w:r>
      <w:r>
        <w:rPr>
          <w:rFonts w:hint="eastAsia"/>
          <w:i/>
          <w:iCs/>
        </w:rPr>
        <w:t xml:space="preserve">DCI </w:t>
      </w:r>
      <w:r>
        <w:rPr>
          <w:rFonts w:hint="eastAsia"/>
        </w:rPr>
        <w:t xml:space="preserve">for the PDSCH. </w:t>
      </w:r>
      <w:r>
        <w:t xml:space="preserve">The QCL assumptions based on DCI indication can be </w:t>
      </w:r>
      <w:r>
        <w:rPr>
          <w:rFonts w:hint="eastAsia"/>
          <w:lang w:eastAsia="zh-CN"/>
        </w:rPr>
        <w:t xml:space="preserve">further </w:t>
      </w:r>
      <w:r>
        <w:t xml:space="preserve">updated compared with the default one. </w:t>
      </w:r>
    </w:p>
    <w:p>
      <w:pPr>
        <w:pStyle w:val="131"/>
        <w:numPr>
          <w:ilvl w:val="0"/>
          <w:numId w:val="0"/>
        </w:numPr>
        <w:rPr>
          <w:lang w:eastAsia="zh-CN"/>
        </w:rPr>
      </w:pPr>
      <w:r>
        <w:rPr>
          <w:rFonts w:hint="eastAsia" w:eastAsia="宋体"/>
          <w:b/>
          <w:bCs/>
          <w:lang w:eastAsia="zh-CN"/>
        </w:rPr>
        <w:t xml:space="preserve">Proposal </w:t>
      </w:r>
      <w:r>
        <w:rPr>
          <w:rFonts w:eastAsia="宋体"/>
          <w:b/>
          <w:bCs/>
          <w:lang w:eastAsia="zh-CN"/>
        </w:rPr>
        <w:t>2</w:t>
      </w:r>
      <w:r>
        <w:rPr>
          <w:rFonts w:hint="eastAsia" w:eastAsia="宋体"/>
          <w:b/>
          <w:bCs/>
          <w:lang w:eastAsia="zh-CN"/>
        </w:rPr>
        <w:t>:</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w:t>
      </w:r>
      <w:r>
        <w:rPr>
          <w:lang w:val="en-GB"/>
        </w:rPr>
        <w:t>timeDurationForQCL</w:t>
      </w:r>
      <w:r>
        <w:rPr>
          <w:rFonts w:hint="eastAsia"/>
        </w:rPr>
        <w:t xml:space="preserve">, UE </w:t>
      </w:r>
      <w:r>
        <w:t>obtains the QCL assumptions other than QCL-TypeD from</w:t>
      </w:r>
      <w:r>
        <w:rPr>
          <w:rFonts w:hint="eastAsia"/>
        </w:rPr>
        <w:t xml:space="preserve"> the indicated TCI state in DCI for the PDSCH.</w:t>
      </w:r>
    </w:p>
    <w:p>
      <w:pPr>
        <w:pStyle w:val="2"/>
        <w:rPr>
          <w:lang w:eastAsia="zh-CN"/>
        </w:rPr>
      </w:pPr>
      <w:r>
        <w:rPr>
          <w:lang w:eastAsia="zh-CN"/>
        </w:rPr>
        <w:t>Conclusions</w:t>
      </w:r>
    </w:p>
    <w:p>
      <w:pPr>
        <w:rPr>
          <w:lang w:eastAsia="zh-CN"/>
        </w:rPr>
      </w:pPr>
      <w:r>
        <w:rPr>
          <w:rFonts w:hint="eastAsia"/>
          <w:lang w:eastAsia="zh-CN"/>
        </w:rPr>
        <w:t>I</w:t>
      </w:r>
      <w:r>
        <w:rPr>
          <w:lang w:eastAsia="zh-CN"/>
        </w:rPr>
        <w:t xml:space="preserve">n this contribution, we </w:t>
      </w:r>
      <w:r>
        <w:rPr>
          <w:lang w:val="en-GB" w:eastAsia="zh-CN"/>
        </w:rPr>
        <w:t>present one remaining issue on QCL assumptions other QCL-TypeD for cross-carrier scheduling. The following proposal has been made.</w:t>
      </w:r>
    </w:p>
    <w:p>
      <w:pPr>
        <w:rPr>
          <w:i/>
          <w:lang w:eastAsia="zh-CN"/>
        </w:rPr>
      </w:pPr>
      <w:r>
        <w:rPr>
          <w:b/>
          <w:i/>
          <w:lang w:eastAsia="zh-CN"/>
        </w:rPr>
        <w:t>Observation 1</w:t>
      </w:r>
      <w:r>
        <w:rPr>
          <w:i/>
          <w:lang w:eastAsia="zh-CN"/>
        </w:rPr>
        <w:t>: Both RAN2 and RAN4 agree that synchronous NR-DC only requires slot boundary synchronization.</w:t>
      </w:r>
    </w:p>
    <w:p>
      <w:pPr>
        <w:rPr>
          <w:i/>
        </w:rPr>
      </w:pPr>
      <w:r>
        <w:rPr>
          <w:rFonts w:hint="eastAsia"/>
          <w:b/>
          <w:i/>
          <w:lang w:eastAsia="zh-CN"/>
        </w:rPr>
        <w:t>O</w:t>
      </w:r>
      <w:r>
        <w:rPr>
          <w:b/>
          <w:i/>
          <w:lang w:eastAsia="zh-CN"/>
        </w:rPr>
        <w:t>bservation 2:</w:t>
      </w:r>
      <w:r>
        <w:rPr>
          <w:i/>
          <w:lang w:eastAsia="zh-CN"/>
        </w:rPr>
        <w:t xml:space="preserve"> </w:t>
      </w:r>
      <w:r>
        <w:rPr>
          <w:i/>
        </w:rPr>
        <w:t>When DC is deployed, frame timing and SFN are aligned among the component carriers to be aggregated within a CG, and may or may not be aligned between different CGs.</w:t>
      </w:r>
    </w:p>
    <w:p>
      <w:pPr>
        <w:rPr>
          <w:i/>
          <w:iCs/>
          <w:lang w:eastAsia="zh-CN"/>
        </w:rPr>
      </w:pPr>
      <w:r>
        <w:rPr>
          <w:rFonts w:hint="eastAsia"/>
          <w:b/>
          <w:bCs/>
          <w:i/>
          <w:iCs/>
          <w:lang w:eastAsia="zh-CN"/>
        </w:rPr>
        <w:t xml:space="preserve"> Observation 3:</w:t>
      </w:r>
      <w:r>
        <w:rPr>
          <w:rFonts w:hint="eastAsia"/>
          <w:i/>
          <w:iCs/>
          <w:lang w:eastAsia="zh-CN"/>
        </w:rPr>
        <w:t xml:space="preserve"> I</w:t>
      </w:r>
      <w:r>
        <w:rPr>
          <w:i/>
          <w:iCs/>
          <w:lang w:eastAsia="zh-CN"/>
        </w:rPr>
        <w:t>t’s extremely difficult or even impossible to align</w:t>
      </w:r>
      <w:r>
        <w:rPr>
          <w:rFonts w:hint="eastAsia"/>
          <w:i/>
          <w:iCs/>
          <w:lang w:eastAsia="zh-CN"/>
        </w:rPr>
        <w:t xml:space="preserve"> SFN between different gNBs</w:t>
      </w:r>
      <w:r>
        <w:rPr>
          <w:i/>
          <w:iCs/>
          <w:lang w:eastAsia="zh-CN"/>
        </w:rPr>
        <w:t>, especially for gNBs from different vendors</w:t>
      </w:r>
      <w:r>
        <w:rPr>
          <w:rFonts w:hint="eastAsia"/>
          <w:i/>
          <w:iCs/>
          <w:lang w:eastAsia="zh-CN"/>
        </w:rPr>
        <w:t>. If sync NR-DC requires SFN alignment, this brings much restriction on Rel-15 NR-DC.</w:t>
      </w:r>
    </w:p>
    <w:p>
      <w:pPr>
        <w:rPr>
          <w:i/>
          <w:iCs/>
          <w:lang w:eastAsia="zh-CN"/>
        </w:rPr>
      </w:pPr>
      <w:r>
        <w:rPr>
          <w:rFonts w:hint="eastAsia"/>
          <w:b/>
          <w:bCs/>
          <w:i/>
          <w:iCs/>
          <w:lang w:eastAsia="zh-CN"/>
        </w:rPr>
        <w:t xml:space="preserve">Proposal 1: </w:t>
      </w:r>
      <w:r>
        <w:rPr>
          <w:rFonts w:hint="eastAsia"/>
          <w:i/>
          <w:iCs/>
          <w:lang w:eastAsia="zh-CN"/>
        </w:rPr>
        <w:t>RAN1 reconfirms that s</w:t>
      </w:r>
      <w:r>
        <w:rPr>
          <w:i/>
          <w:iCs/>
          <w:lang w:eastAsia="zh-CN"/>
        </w:rPr>
        <w:t>ynchronous NR-DC only requires slot boundary synchronization.</w:t>
      </w:r>
    </w:p>
    <w:p>
      <w:pPr>
        <w:pStyle w:val="131"/>
        <w:numPr>
          <w:ilvl w:val="0"/>
          <w:numId w:val="0"/>
        </w:numPr>
        <w:rPr>
          <w:lang w:eastAsia="zh-CN"/>
        </w:rPr>
      </w:pPr>
      <w:r>
        <w:rPr>
          <w:rFonts w:hint="eastAsia" w:eastAsia="宋体"/>
          <w:b/>
          <w:bCs/>
          <w:lang w:eastAsia="zh-CN"/>
        </w:rPr>
        <w:t xml:space="preserve">Proposal </w:t>
      </w:r>
      <w:r>
        <w:rPr>
          <w:rFonts w:eastAsia="宋体"/>
          <w:b/>
          <w:bCs/>
          <w:lang w:eastAsia="zh-CN"/>
        </w:rPr>
        <w:t>2</w:t>
      </w:r>
      <w:r>
        <w:rPr>
          <w:rFonts w:hint="eastAsia" w:eastAsia="宋体"/>
          <w:b/>
          <w:bCs/>
          <w:lang w:eastAsia="zh-CN"/>
        </w:rPr>
        <w:t>:</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w:t>
      </w:r>
      <w:r>
        <w:rPr>
          <w:lang w:val="en-GB"/>
        </w:rPr>
        <w:t>timeDurationForQCL</w:t>
      </w:r>
      <w:r>
        <w:rPr>
          <w:rFonts w:hint="eastAsia"/>
        </w:rPr>
        <w:t xml:space="preserve">, UE </w:t>
      </w:r>
      <w:r>
        <w:t>obtains the QCL assumptions other than QCL-TypeD from</w:t>
      </w:r>
      <w:r>
        <w:rPr>
          <w:rFonts w:hint="eastAsia"/>
        </w:rPr>
        <w:t xml:space="preserve"> the indicated TCI state in DCI for the PDSCH.</w:t>
      </w:r>
      <w:bookmarkStart w:id="7" w:name="_GoBack"/>
      <w:bookmarkEnd w:id="7"/>
    </w:p>
    <w:p>
      <w:pPr>
        <w:pStyle w:val="2"/>
        <w:rPr>
          <w:lang w:eastAsia="zh-CN"/>
        </w:rPr>
      </w:pPr>
      <w:r>
        <w:rPr>
          <w:rFonts w:hint="eastAsia"/>
          <w:lang w:eastAsia="zh-CN"/>
        </w:rPr>
        <w:t>R</w:t>
      </w:r>
      <w:r>
        <w:rPr>
          <w:lang w:eastAsia="zh-CN"/>
        </w:rPr>
        <w:t>eference</w:t>
      </w:r>
    </w:p>
    <w:p>
      <w:pPr>
        <w:pStyle w:val="126"/>
        <w:rPr>
          <w:lang w:val="sv-SE"/>
        </w:rPr>
      </w:pPr>
      <w:bookmarkStart w:id="3" w:name="_Ref16195176"/>
      <w:r>
        <w:rPr>
          <w:lang w:val="sv-SE"/>
        </w:rPr>
        <w:t>RP-190992, “Synchronous NR-NR DC”, RAN#84, Qualcomm.</w:t>
      </w:r>
      <w:bookmarkEnd w:id="3"/>
    </w:p>
    <w:p>
      <w:pPr>
        <w:pStyle w:val="126"/>
        <w:rPr>
          <w:lang w:val="sv-SE"/>
        </w:rPr>
      </w:pPr>
      <w:bookmarkStart w:id="4" w:name="_Ref14975878"/>
      <w:r>
        <w:rPr>
          <w:lang w:val="sv-SE"/>
        </w:rPr>
        <w:t>R2-1902794, ” LS on SFTD measurement for NR-DC in Rel-15”, RAN2#105, ZTE.</w:t>
      </w:r>
      <w:bookmarkEnd w:id="4"/>
    </w:p>
    <w:p>
      <w:pPr>
        <w:pStyle w:val="126"/>
        <w:rPr>
          <w:lang w:val="sv-SE"/>
        </w:rPr>
      </w:pPr>
      <w:bookmarkStart w:id="5" w:name="_Ref14975970"/>
      <w:r>
        <w:rPr>
          <w:lang w:val="sv-SE"/>
        </w:rPr>
        <w:t>R4-190482</w:t>
      </w:r>
      <w:r>
        <w:rPr>
          <w:rFonts w:hint="eastAsia"/>
          <w:lang w:val="sv-SE"/>
        </w:rPr>
        <w:t>3</w:t>
      </w:r>
      <w:r>
        <w:rPr>
          <w:lang w:val="sv-SE"/>
        </w:rPr>
        <w:t>, “Draft reply LS on SFTD measurements for NR-DC in Rel-15”, RAN4#90bis, ZTE.</w:t>
      </w:r>
      <w:bookmarkEnd w:id="5"/>
    </w:p>
    <w:p>
      <w:pPr>
        <w:pStyle w:val="126"/>
        <w:rPr>
          <w:lang w:val="sv-SE"/>
        </w:rPr>
      </w:pPr>
      <w:bookmarkStart w:id="6" w:name="_Ref16195815"/>
      <w:r>
        <w:rPr>
          <w:lang w:val="sv-SE"/>
        </w:rPr>
        <w:t>RAN1 Chairman’s Notes, RAN1#97.</w:t>
      </w:r>
      <w:bookmarkEnd w:id="6"/>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3</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364"/>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50"/>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21"/>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D7CC0"/>
    <w:rsid w:val="000E011D"/>
    <w:rsid w:val="000E03CF"/>
    <w:rsid w:val="000E0D89"/>
    <w:rsid w:val="000E1003"/>
    <w:rsid w:val="000E14B9"/>
    <w:rsid w:val="000E182B"/>
    <w:rsid w:val="000E1E89"/>
    <w:rsid w:val="000E1E8E"/>
    <w:rsid w:val="000E2355"/>
    <w:rsid w:val="000E2787"/>
    <w:rsid w:val="000E279B"/>
    <w:rsid w:val="000E2844"/>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7F0"/>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12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445"/>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5AC"/>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66A"/>
    <w:rsid w:val="0021586D"/>
    <w:rsid w:val="00215D76"/>
    <w:rsid w:val="002162EA"/>
    <w:rsid w:val="002165F9"/>
    <w:rsid w:val="00216685"/>
    <w:rsid w:val="00216B17"/>
    <w:rsid w:val="00216B28"/>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84"/>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0A2"/>
    <w:rsid w:val="002D425A"/>
    <w:rsid w:val="002D4314"/>
    <w:rsid w:val="002D4A54"/>
    <w:rsid w:val="002D4E37"/>
    <w:rsid w:val="002D52E0"/>
    <w:rsid w:val="002D547D"/>
    <w:rsid w:val="002D55E0"/>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E73"/>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82"/>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1ED"/>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B5"/>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455"/>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B53"/>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03"/>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1D41"/>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1A1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4D"/>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17F8F"/>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0DB"/>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3E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5C3"/>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B33"/>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6E0"/>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EE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CB3"/>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0E71"/>
    <w:rsid w:val="008216E2"/>
    <w:rsid w:val="0082172C"/>
    <w:rsid w:val="00821773"/>
    <w:rsid w:val="008219C7"/>
    <w:rsid w:val="00821A22"/>
    <w:rsid w:val="00821DC0"/>
    <w:rsid w:val="00822131"/>
    <w:rsid w:val="0082291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1B9"/>
    <w:rsid w:val="008444E3"/>
    <w:rsid w:val="008444F8"/>
    <w:rsid w:val="008445D2"/>
    <w:rsid w:val="00844750"/>
    <w:rsid w:val="00844864"/>
    <w:rsid w:val="00845824"/>
    <w:rsid w:val="00845A92"/>
    <w:rsid w:val="00845F51"/>
    <w:rsid w:val="008460B1"/>
    <w:rsid w:val="00846106"/>
    <w:rsid w:val="00846273"/>
    <w:rsid w:val="00846467"/>
    <w:rsid w:val="00846661"/>
    <w:rsid w:val="00846874"/>
    <w:rsid w:val="00846AC4"/>
    <w:rsid w:val="00846C77"/>
    <w:rsid w:val="00846E99"/>
    <w:rsid w:val="008470A4"/>
    <w:rsid w:val="0084756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37"/>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7B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E2A"/>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3D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4A9"/>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3FD5"/>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5ECB"/>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1FF8"/>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3DEC"/>
    <w:rsid w:val="00A744A2"/>
    <w:rsid w:val="00A74598"/>
    <w:rsid w:val="00A745D9"/>
    <w:rsid w:val="00A74E04"/>
    <w:rsid w:val="00A74F6C"/>
    <w:rsid w:val="00A75212"/>
    <w:rsid w:val="00A7538B"/>
    <w:rsid w:val="00A75920"/>
    <w:rsid w:val="00A75DE7"/>
    <w:rsid w:val="00A761DC"/>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60B"/>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BB"/>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671"/>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24"/>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347"/>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639"/>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A40"/>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01D"/>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0E51"/>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17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4E4"/>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387"/>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6B4"/>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1A4"/>
    <w:rsid w:val="00F47728"/>
    <w:rsid w:val="00F4786E"/>
    <w:rsid w:val="00F47AF4"/>
    <w:rsid w:val="00F47AFE"/>
    <w:rsid w:val="00F47CBA"/>
    <w:rsid w:val="00F47CF5"/>
    <w:rsid w:val="00F50020"/>
    <w:rsid w:val="00F50671"/>
    <w:rsid w:val="00F50849"/>
    <w:rsid w:val="00F50D5A"/>
    <w:rsid w:val="00F510D3"/>
    <w:rsid w:val="00F51108"/>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97D3688"/>
    <w:rsid w:val="1A514204"/>
    <w:rsid w:val="1A961A55"/>
    <w:rsid w:val="1AD072B1"/>
    <w:rsid w:val="1B2E6DC7"/>
    <w:rsid w:val="1B5316CE"/>
    <w:rsid w:val="1C766428"/>
    <w:rsid w:val="1DD50930"/>
    <w:rsid w:val="1DF407BB"/>
    <w:rsid w:val="1E38003B"/>
    <w:rsid w:val="1E6132BD"/>
    <w:rsid w:val="1EA240E5"/>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8C27234"/>
    <w:rsid w:val="2A0F0B23"/>
    <w:rsid w:val="2AFE2B7E"/>
    <w:rsid w:val="2B0E3D3A"/>
    <w:rsid w:val="2D376513"/>
    <w:rsid w:val="2DA236EE"/>
    <w:rsid w:val="2DC863F1"/>
    <w:rsid w:val="2EB72406"/>
    <w:rsid w:val="2F1E73FC"/>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 w:type="paragraph" w:customStyle="1" w:styleId="151">
    <w:name w:val="正文1"/>
    <w:qFormat/>
    <w:uiPriority w:val="0"/>
    <w:pPr>
      <w:spacing w:before="100" w:beforeAutospacing="1" w:after="180"/>
    </w:pPr>
    <w:rPr>
      <w:rFonts w:ascii="Batang" w:hAnsi="宋体" w:eastAsia="Batang" w:cs="宋体"/>
      <w:sz w:val="24"/>
      <w:szCs w:val="24"/>
      <w:lang w:val="en-US" w:eastAsia="zh-CN" w:bidi="ar-SA"/>
    </w:rPr>
  </w:style>
  <w:style w:type="paragraph" w:customStyle="1" w:styleId="152">
    <w:name w:val="Doc-text2"/>
    <w:basedOn w:val="1"/>
    <w:link w:val="153"/>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3">
    <w:name w:val="Doc-text2 Char"/>
    <w:link w:val="152"/>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9D0E7-97F1-4F5D-AC85-A99972A0EC8C}">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1235</Words>
  <Characters>7041</Characters>
  <Lines>58</Lines>
  <Paragraphs>16</Paragraphs>
  <TotalTime>47</TotalTime>
  <ScaleCrop>false</ScaleCrop>
  <LinksUpToDate>false</LinksUpToDate>
  <CharactersWithSpaces>8260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2019-08-08T14:20:00Z</dcterms:created>
  <dc:creator>ZTE Corporation</dc:creator>
  <cp:lastModifiedBy>ZTE</cp:lastModifiedBy>
  <cp:lastPrinted>2018-04-07T03:05:00Z</cp:lastPrinted>
  <dcterms:modified xsi:type="dcterms:W3CDTF">2019-08-17T03:13:47Z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